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color w:val="000000"/>
          <w:sz w:val="37"/>
          <w:szCs w:val="37"/>
        </w:rPr>
      </w:pPr>
      <w:bookmarkStart w:id="0" w:name="_GoBack"/>
      <w:r>
        <w:rPr>
          <w:i w:val="0"/>
          <w:caps w:val="0"/>
          <w:color w:val="000000"/>
          <w:spacing w:val="0"/>
          <w:sz w:val="37"/>
          <w:szCs w:val="37"/>
          <w:bdr w:val="none" w:color="auto" w:sz="0" w:space="0"/>
        </w:rPr>
        <w:t>关于办好新时代职业教育的十条意见</w:t>
      </w:r>
    </w:p>
    <w:bookmarkEnd w:id="0"/>
    <w:p>
      <w:pPr>
        <w:keepNext w:val="0"/>
        <w:keepLines w:val="0"/>
        <w:widowControl/>
        <w:suppressLineNumbers w:val="0"/>
        <w:pBdr>
          <w:top w:val="none" w:color="auto" w:sz="0" w:space="0"/>
          <w:left w:val="none" w:color="auto" w:sz="0" w:space="0"/>
          <w:bottom w:val="single" w:color="EFEFEF" w:sz="12" w:space="15"/>
          <w:right w:val="none" w:color="auto" w:sz="0" w:space="0"/>
        </w:pBdr>
        <w:spacing w:before="0" w:beforeAutospacing="0" w:after="0" w:afterAutospacing="0" w:line="480" w:lineRule="atLeast"/>
        <w:ind w:left="0" w:right="0" w:firstLine="0"/>
        <w:jc w:val="center"/>
        <w:rPr>
          <w:rFonts w:ascii="Helvetica" w:hAnsi="Helvetica" w:eastAsia="Helvetica" w:cs="Helvetica"/>
          <w:i w:val="0"/>
          <w:caps w:val="0"/>
          <w:color w:val="3D3D3D"/>
          <w:spacing w:val="0"/>
          <w:sz w:val="24"/>
          <w:szCs w:val="24"/>
        </w:rPr>
      </w:pPr>
      <w:r>
        <w:rPr>
          <w:rFonts w:hint="default" w:ascii="Helvetica" w:hAnsi="Helvetica" w:eastAsia="Helvetica" w:cs="Helvetica"/>
          <w:i w:val="0"/>
          <w:caps w:val="0"/>
          <w:color w:val="3D3D3D"/>
          <w:spacing w:val="0"/>
          <w:kern w:val="0"/>
          <w:sz w:val="24"/>
          <w:szCs w:val="24"/>
          <w:bdr w:val="none" w:color="auto" w:sz="0" w:space="0"/>
          <w:lang w:val="en-US" w:eastAsia="zh-CN" w:bidi="ar"/>
        </w:rPr>
        <w:t>   </w:t>
      </w:r>
      <w:r>
        <w:rPr>
          <w:rFonts w:hint="default" w:ascii="Helvetica" w:hAnsi="Helvetica" w:eastAsia="Helvetica" w:cs="Helvetica"/>
          <w:i w:val="0"/>
          <w:caps w:val="0"/>
          <w:color w:val="9B9B9B"/>
          <w:spacing w:val="0"/>
          <w:kern w:val="0"/>
          <w:sz w:val="24"/>
          <w:szCs w:val="24"/>
          <w:bdr w:val="none" w:color="auto" w:sz="0" w:space="0"/>
          <w:lang w:val="en-US" w:eastAsia="zh-CN" w:bidi="ar"/>
        </w:rPr>
        <w:t>    </w:t>
      </w:r>
      <w:r>
        <w:rPr>
          <w:rFonts w:hint="default" w:ascii="iconfont" w:hAnsi="iconfont" w:eastAsia="iconfont" w:cs="iconfont"/>
          <w:i w:val="0"/>
          <w:caps w:val="0"/>
          <w:color w:val="9B9B9B"/>
          <w:spacing w:val="0"/>
          <w:kern w:val="0"/>
          <w:sz w:val="19"/>
          <w:szCs w:val="19"/>
          <w:bdr w:val="none" w:color="auto" w:sz="0" w:space="0"/>
          <w:lang w:val="en-US" w:eastAsia="zh-CN" w:bidi="ar"/>
        </w:rPr>
        <w:t></w:t>
      </w:r>
      <w:r>
        <w:rPr>
          <w:rFonts w:hint="default" w:ascii="Helvetica" w:hAnsi="Helvetica" w:eastAsia="Helvetica" w:cs="Helvetica"/>
          <w:i w:val="0"/>
          <w:caps w:val="0"/>
          <w:color w:val="9B9B9B"/>
          <w:spacing w:val="0"/>
          <w:kern w:val="0"/>
          <w:sz w:val="24"/>
          <w:szCs w:val="24"/>
          <w:bdr w:val="none" w:color="auto" w:sz="0" w:space="0"/>
          <w:lang w:val="en-US" w:eastAsia="zh-CN" w:bidi="ar"/>
        </w:rPr>
        <w:t> 2019-01-23</w:t>
      </w:r>
      <w:r>
        <w:rPr>
          <w:rFonts w:hint="default" w:ascii="Helvetica" w:hAnsi="Helvetica" w:eastAsia="Helvetica" w:cs="Helvetica"/>
          <w:i w:val="0"/>
          <w:caps w:val="0"/>
          <w:color w:val="3D3D3D"/>
          <w:spacing w:val="0"/>
          <w:kern w:val="0"/>
          <w:sz w:val="24"/>
          <w:szCs w:val="24"/>
          <w:bdr w:val="none" w:color="auto" w:sz="0" w:space="0"/>
          <w:lang w:val="en-US" w:eastAsia="zh-CN" w:bidi="ar"/>
        </w:rPr>
        <w:t>    </w:t>
      </w:r>
      <w:r>
        <w:rPr>
          <w:rFonts w:hint="default" w:ascii="Helvetica" w:hAnsi="Helvetica" w:eastAsia="Helvetica" w:cs="Helvetica"/>
          <w:i w:val="0"/>
          <w:caps w:val="0"/>
          <w:color w:val="9B9B9B"/>
          <w:spacing w:val="0"/>
          <w:kern w:val="0"/>
          <w:sz w:val="24"/>
          <w:szCs w:val="24"/>
          <w:bdr w:val="none" w:color="auto" w:sz="0" w:space="0"/>
          <w:lang w:val="en-US" w:eastAsia="zh-CN" w:bidi="ar"/>
        </w:rPr>
        <w:t>山东省教育厅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各市党委组织部、编办、台港澳办，各市教育局、发展改革委、工业和信息化局、财政局、人力资源社会保障局、外办、国资委、税务局，各高等学校：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为深入学习贯彻习近平新时代中国特色社会主义思想和党的十九大精神，以全国教育大会精神统领全省职业教育改革发展，推动我省现代职业教育体系建设“再出发”，进一步提升全省职业院校（含技工院校，下同）整体办学水平和发展质量，办好新时代职业教育，确保我省现代职业教育体系建设更加顺应时代要求，继续走在前列，更好服务乡村振兴、经略海洋、军民融合和新旧动能转换重大工程等重大战略，更好服务现代化教育强省和经济文化强省建设，现结合我省实际，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一、创建山东省国家职业教育创新发展试验区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将职业教育摆在现代化教育强省和经济文化强省建设的大格局中系统谋划布局，紧紧围绕破解制约职业教育改革发展的深层次体制机制障碍和突出矛盾，推动省部共建山东省国家职业教育创新发展试验区，在职业教育考试招生、人才培养、“双师型”队伍、产教融合、办学制度、保障机制、管理体制、服务现代化经济体系等方面，先行先试，为全国创造可复制、可借鉴、可推广的经验做法，建设职业教育制度创新高地。着力调动各地、各职业院校创新发展的积极性和主动性，建立创新发展激励机制，将各地、各职业院校创新发展情况作为职业教育省级重点项目支持的重要因素，遴选一批职业教育发展基础好、改革创新意识强的市、县（市、区），省地共建省级职业教育创新发展试验区，支持青岛市、潍坊市建设职业教育创新发展示范区，为全省职业教育改革发展探索新路径、提供新样板。（省教育厅会同省委编办、省发展改革委、省工业和信息化厅、省财政厅、省人力资源社会保障厅等有关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二、优化改进职业教育考试招生制度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按照有利于选拔和培养高素质技术技能人才原则，加快推进高校分类考试招生，使春季高考成为技术技能人才选拔的主渠道,本科招生计划安排逐步达到应用型本科高校本科招生计划的30%，为职业院校学生提供更多升入应用型本科高校机会；科学调整并细化春季高考专业类目；分专业类目组建技能测试项目库，明确技能测试收费标准，强化测试内容的技术性、综合性和随机性；适时调整考试科目分值，提高专业知识和技能测试分值比重；制定具体措施，建立职业院校学生参加国家、省、市职业院校技能大赛获奖等级与技能测试成绩挂钩的赋分体系；从2022年起，春季高考统一考试招生报考人员为中等职业教育应届毕业生，社会人员报考应取得高中阶段教育毕业证书或具有同等学力；非山东户籍高中阶段学生参加春季统一考试招生应为进城务工人员子女；加强春季高考考点尤其是专业技能考点基础能力建设，提升考试保障和服务水平。优化改进专升本考试制度，加强过程考核，从2020年起，依据学生高职（专科）在校期间的综合素质测评成绩设置报名条件。优化招生录取结构，逐步调减公办本科高校举办高职（专科）教育的校数和招生规模，公办本科高校稳步有序停办高职（专科）教育。（省教育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三、系统构建从中职、专科、职业教育本科、应用型本科到专业学位研究生的培养体系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根据经济社会发展对技术技能人才需求，系统规划职业教育培养体系，扎实推进包括技工院校学历教育在内的中职与高职、中职与本科、高职与本科、本科与专业学位研究生衔接，推动中职、高职、职业教育本科、应用型本科、专业学位研究生教育联合培养技术技能人才，为学生多样化选择、多路径成才搭建“立交桥”。畅通中职学校毕业生进入高职院校、职业院校毕业生进入本科高校渠道，鼓励高等学校根据专业人才培养定位和规格，积极招收职业院校毕业生，高等学校招收职业院校毕业生的比例逐年提高，吸引更多优秀学生主动学习技术技能。鼓励支持高职院校辐射带动更多中职学校，继续稳步扩大初中后五年制高等职业教育办学规模，遴选一批职业院校专门举办五年制高等职业教育。制定具体措施，建立优质本科高校参与春季高考招生和“3+2”“3+4”对口贯通分段培养的激励机制及责任机制，对相关本科高校试点专业给予经费支持，并根据试点本科高校需要科学合理扩大学校招生计划总规模；按照教学规律和人才成长规律，优化改进“3+2”对口贯通分段培养模式，探索“2+3”（2年本科、3年高职）、“2+2+1”（2年本科、2年高职、1年本科）、“1+2+2”（1年本科、2年高职、2年本科）等模式；探索在国家示范（骨干）高职院校、省优质高职院校的特色专业举办四年制本科职业教育或“3+2”试点5年全部在相应高职院校培养，支持高职院校深度参与专业学位研究生教育实践培养环节。承担国家试点，探索实施“学历证书+若干专业能力证书（1+X）”证书制度，为职业院校学生拓展就业创业本领提供支持。优化高中阶段教育结构，推进普通高中与中职学校学分互认、学籍互转，遴选具备条件的学校开展综合高中试点，支持学生自主选择发展方向，推动高中阶段教育特色化、多样化发展，为学生从初中毕业开始选择适合的教育类型提供支持。承担国家试点，借鉴德国、瑞士、奥地利应用技术大学和台湾科技大学办学模式，以新设本科院校、独立学院和优质高职院校为主体，积极探索建设应用技术大学，支持引导有条件的普通本科院校向应用型转型发展。（省教育厅会同省发展改革委、省财政厅、省人力资源社会保障厅和有关行业主管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四、健全德技并修、工学结合的高素质技术技能人才育人机制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坚持立德树人，增强学生可持续发展能力，着力培养学生的科学人文素养、工匠精神、职业道德、职业技能和就业创业能力。坚持标准引领，健全职业教育教学标准，主动对接产业发展、技术进步和流程再造，到2020年，修订、开发400个左右专业教学标准，形成既分层分类、又系统衔接的职业教育教学体系。制定深化职业教育教学改革意见，启动课程改革攻坚战，推进“课堂革命”，推动学校全面落实国家和省课程标准，开齐课程、开足课时，大力推进做中学做中教、育训结合，深化创新创业教育改革，促进学以致用、用以促学、学用相长。探索建立“学分银行”，在中职学校探索实施学分制改革；全面推进高职院校学分制改革，到2020年，全省高职院校全面推行学分制。实施德技双优“齐鲁工匠后备人才”培育工程，从2018年起，用5年时间培养10万名左右“齐鲁工匠后备人才”。统筹推进精品资源共享课、教学资源库、优质教材、教改立项、教学成果、实训基地等一系列职业教育质量工程项目建设。制定职业院校教学用书管理实施细则，健全以省为主统筹管理，市级教育行政部门、高等职业院校分别组织选用中、高职教材的工作机制，确保教材质量。深入推进中职学生综合素质评价制度，从2020级新生起，推行“文化素质+专业技能”中职学业水平考试制度，对学生思想品德、学业成绩、身心健康、兴趣特长、社会实践等进行全面科学评价。分专业制定职业教育培训标准，支持引导职业院校紧紧围绕乡村振兴、经略海洋、军民融合和新旧动能转换重大工程，提升职业培训能力，主动承担涉农涉海培训和因去产能、淘汰落后产能产生的转岗培训及企业转型升级产生的技术技能提升培训，以及对未升学初高中毕业生、退役军人、农民工、失业人员、中小微企业员工、残疾人等群体的培训，建设高素质劳动者大军。（省教育厅会同省财政厅、省人力资源社会保障厅和有关行业主管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五、建设全国一流的职业院校和专业（群）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在各类规划中充分考虑技术技能人才需求，同步规划职业教育发展，着力营造包括技工教育在内的职业教育、普通教育平等发展环境，健全与区域经济社会发展紧密对接的学校和专业布局结构，支持以设区的市为单位，统筹规划市域内职业院校布局调整、专业设置、实训基地、师资队伍建设、人才培养等，统筹各类职业教育资源，与区域产业对接，实现差异化、特色化发展。优化职业院校区域布局结构，实施职业院校水平提升工程，以设区的市为单位制定5年实施方案，明确路线图，提升职业院校整体办学水平；推进省示范性及优质特色中职学校建设工程、优质高职院校建设工程，建设100所左右示范性及优质特色中职学校、30所左右优质高职院校,争创中国特色高水平职业院校。健全专业设置与调控机制，建立专业设置“负面清单”和信息发布制度，定期发布职业院校专业结构与产业结构吻合度状况报告，研究探索以专业评估结果为基础的职业院校排名机制，健全人力资源统计、预测、供求信息发布制度，重点建设新兴产业相关专业，着力升级改造传统产业相关专业，扶持农林牧渔地矿油和涉海类等艰苦专业，引导职业院校建立紧密对接产业链、创新链的专业体系，全省建设200个左右中职品牌专业、200个左右高职品牌专业群，争创中国特色高水平专业（群）。加快推进职业教育信息化，全面推进数字化校园建设，支持建设一批职业教育信息化创新与改革试点学校、试点区域；以课程资源为核心，建设山东省职业教育教学资源共享平台，推动优质资源跨区域、跨学校共建共享，逐步实现所有专业优质数字教育资源全覆盖。（省教育厅会同省发展改革委、省工业和信息化厅、省财政厅、省人力资源社会保障厅及有关行业主管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六、构建产教深度融合、校企合作办学长效机制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制定校企合作推进办法，加快构建政府、行业、企业、学校、社会协同推进的工作格局。制定产教融合行动计划实施方案，争取山东省及8个左右城市、10所左右高职院校、80所左右中职学校及部分职教集团、企业成为国家职业教育“十百千”产教融合试点，试点企业兴办职业教育的投资符合条件的，可按国家有关规定享受优惠政策。落实校企合作办学财税激励政策和收费政策，鼓励支持企业在职业院校建设生产性实训基地，职业院校依托企业生产车间等实训资源建设二级学院（系）；从2019年起，市、县级人民政府设立职业教育发展资金，建立接收学生实习实训成本补偿机制，将规模以上企业接收学生实习实训和开展职业教育情况纳入企业社会责任报告，规模以上企业按职工总数的2%安排实习岗位接纳职业院校学生实习；支持建设校企一体化合作办学示范校和企业，对成效突出、示范作用强的项目，给予一定奖励，并将其作为企业评优评先、项目资助的重要依据；全面推进现代学徒制和企业新型学徒制，建设一批骨干职业教育集团。制定政策措施，允许职业院校面向社会提供有偿服务，开展有偿服务所得收入、校办产业年度利润等收入可用于单位绩效工资发放；职业院校开展生产服务性实习实训取得的勤工俭学收入可提取一定比例支付学生劳动报酬；职业院校教师根据相关规定取得的科技成果转化现金奖励计入当年本单位绩效工资总量，但不受总量控制，不作为调控基数。制定推进职业院校混合所有制改革指导意见，鼓励社会力量通过独资、合资、合作等形式举办或参与举办职业教育，允许社会力量通过购买、承租、委托管理等方式改造办学活力不足的公办职业院校，鼓励举办混合所有制性质的二级学院。（省发展改革委、省教育厅、省工业和信息化厅、省财政厅、省人力资源社会保障厅、省国资委、省税务局按照各自职责分别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七、建设高水平“双师型”师资队伍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在高职院校和公益二类中职学校实行人员控制总量备案管理，财政部门依据机构编制部门核定的人员控制总量，按人员控制总量内实有人数核拨经费，确保学校人员工资按时足额拨付。落实职业院校用人自主权，在机构编制、人力资源社会保障、教育以及其他有关主管部门的指导、监督下，职业院校按照有关规定自主制订单位内部人事管理制度，自主管理岗位设置，自主安排、执行用人计划，自主公开招聘各类人才，自主组织竞聘上岗和人员聘用管理，自主确定本单位绩效工资分配方式。健全职业院校教师自主招聘制度，专业教师招聘以测试专业技能和执教能力为主，可采取考察的方式招聘高水平技能人才；允许教学急需但没有教师资格证的专业人才参加学校招聘，合格的先作为兼职教师使用，待取得教师资格证后再转为正式教师；支持学校引进行业企业一流人才和具有创新实践经验的企业管理专家、科技人才、技能人才等担任产业教授，财政参照高级专业技术职务人员平均薪酬水平确定经费拨付标准，或按照项目工资制、年薪制拨付薪酬。实施职业院校教师素质提高计划，推进齐鲁名师名校长建设工程、青年技能名师建设计划，培育一批专业（学科）骨干带头人、教学能手、教学名师、教学团队和职教名家，完善职业院校教师技能大赛制度和教学能力大赛制度，造就一批职业教育领军人物。创造条件建设独立设置的职业技术师范院校，鼓励支持具备条件的本科高校和高职院校设立职业技术师范二级学院，培养职教师资。推进非营利性民办职业院校教师养老保险与公办学校教师同等待遇试点，当地财政部门应充分考虑学校缴费规模，对试点学校给予适当补助。（省委编办、省教育厅、省财政厅、省人力资源社会保障厅及有关行业主管部门按照各自职责分别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八、建立与办学规模和培养要求相适应的财政投入制度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建立稳定长效投入机制，坚持新增教育经费向职业教育倾斜，进一步加大职业教育投入，逐步提高生均经费拨款水平，切实保障学校办学经费，继续加强对职业教育办学条件改善和内涵建设的支持力度，探索实施“基本保障+发展专项+绩效奖励”的财政拨款方式。全面落实中职学校生均经费拨款标准，确保旅游服务类（不含烹饪专业）、财经商贸类、休闲保健类、教育类、司法服务类、公共管理与服务类专业，每生每年2800元；农林牧渔类、资源环境类、能源与新能源类、土木水利类、加工制造类、电工电子类、石油化工类、轻纺食品类、交通运输类、信息技术类专业，每生每年3300元；体育与健身类、医药卫生类专业，每生每年3900元；文化艺术类专业、旅游服务类的烹饪专业，每生每年4500元。全面落实高职院校生均拨款标准，确保公办高职高专院校生均拨款达到1.2万元以上，并适时提高和实行差异化拨款，形成奖优扶优、支持特色发展的机制。落实教育费附加不低于30%和地方教育附加不低于30%用于职业教育政策，向社会公开使用情况。建立市、县级人民政府职业教育经费投入绩效评价、审计公告、预决算公开制度，并将各地生均拨款标准落实情况与省级奖补资金、项目安排、招生计划下达相挂钩。制定具体实施意见，对不按规定提取和使用教育培训经费并拒不改正的企业，由各级政府依法收取企业应当承担的职业教育经费，统筹用于本地区的职业教育。鼓励企业、个人等社会力量捐资、出资举办职业教育，拓宽办学筹资渠道。化解公办职业院校债务。（省发展改革委、省教育厅、省工业和信息化厅、省财政厅、省人力资源社会保障厅及有关行业主管部门按照各自职责分别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九、进一步提升职业教育对外开放水平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依托山东与澳大利亚南澳州、德国巴伐利亚州、德国赛德尔基金会、德国手工业者协会、德国焊接协会和鲁台职业教育交流与合作研讨活动等交流合作平台，支持职业院校有计划地学习和引进国际先进、成熟适用的人才培养标准、专业课程、教材体系和数字化教育资源，与海外高水平院校建立一对一合作关系，举办合作办学项目，系统学习先进办学模式，建设海外职业教育师资培训基地等。推动高水平职业院校主动服务“一带一路”倡议，支持职业院校发起成立“一带一路”职业教育国际联盟，在沿线国家建立办学机构、研发机构，与沿线国家职业院校联合举办高水平职业技能大赛，接收沿线国家学生来我省职业院校留学，支持承揽海外大型工程的企业与职业院校联合建立国际化人才培养基地，加快培养适应我省企业走出去要求的技术技能人才。落实《中共中央办公厅国务院办公厅转发中央组织部、中央外办等部门&lt;关于加强和改进教学科研人员因公临时出国管理工作的指导意见&gt;的通知》（厅字〔2016〕17号）规定，优化审批程序，对教学科研人员因公临时出国实行区别管理，鼓励支持职业院校教学科研人员更广泛地参加国际学术交流与合作。（省委台港澳办、省教育厅、省工业和信息化厅、省人力资源社会保障厅、省外办按照各自职责分别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Style w:val="5"/>
          <w:rFonts w:hint="default" w:ascii="Helvetica" w:hAnsi="Helvetica" w:eastAsia="Helvetica" w:cs="Helvetica"/>
          <w:i w:val="0"/>
          <w:caps w:val="0"/>
          <w:color w:val="3D3D3D"/>
          <w:spacing w:val="0"/>
          <w:sz w:val="24"/>
          <w:szCs w:val="24"/>
          <w:bdr w:val="none" w:color="auto" w:sz="0" w:space="0"/>
        </w:rPr>
        <w:t>十、营造有利于职业教育改革发展的良好环境氛围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修订《山东省职业教育条例》。加强督查考核，落实“职业教育与普通教育是两种不同教育类型，具有同等重要地位”的要求，夯实大力发展职业教育的责任，将职业教育作为对市、县级人民政府履行教育职责评价的重要内容，评价结果作为对市、县级人民政府及其有关部门领导班子和领导干部进行考核、奖惩的重要依据。组建山东省职业教育改革发展战略咨询委员会，进一步提升职业教育重大决策的科学性。加强职业院校领导班子建设，按照社会主义政治家、教育家要求配强职业院校领导班子；加强干部资源统筹，加大高职院校正职交流使用力度。加强各级职业教育教学研究队伍建设，鼓励支持聘请一线优秀教师担任兼职教研员，形成专兼结合、动态管理的教研员队伍。对促进职业教育发展的单位和个人，按照有关规定给予表彰奖励；健全教学成果和科研成果奖励制度。完善技术工人培养、评价、使用、激励、保障机制，实现技高者多得、多劳者多得，切实提高技术技能人才的社会地位和待遇。创造平等就业环境，消除城乡、行业、身份、性别等一切影响平等就业的制度障碍，在落户、就业、机关事业单位招聘、职称评审、职级晋升等方面不得歧视职业院校毕业生。组建山东省技术技能大师库，鼓励技术技能大师建立工作室。办好工匠和劳模精神大讲堂活动，邀请具有高尚品德、精湛技艺的劳动模范、技能大师、能工巧匠进校园、进课堂，引导学生科学规划职业生涯。办好职业教育活动周，讲好职教故事，传播职教声音，营造人人皆可成才、人人尽展其才的良好环境。（省委组织部、省委编办、省教育厅、省人力资源社会保障厅及有关行业主管部门按照各自职责分别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1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